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САРНЕНСЬКА МІСЬКА РАДА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ЗАКЛАД ДОШКІЛЬНОЇ ОСВІТИ (ЯСЛА-САДОК) № 1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«ДЗВІНОЧОК» САРНЕНСЬКОЇ МІСЬКОЇ РАДИ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(ЗДО № 1 «ДЗВІНОЧОК» М. САРНИ)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ind w:firstLine="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Консультація для педагогів: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3.0" w:type="dxa"/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«Вигорання педагога: Як зберегти енергію та радість від професії»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ind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Підготувала 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ind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практичний психолог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ind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ВІВЧАРУК Тетяна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м.Сарни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Емоційне вигорання — це не просто втома, а стан виснаження, коли внутрішні ресурси вичерпані через тривалий стрес, високу відповідальність та постійний емоційний контакт. В умовах сучасних викликів, впровадження нових методик (STREAM, цифровізація) та інтенсивного моніторингу результатів, збереження власного «Я» стає професійною необхідністю.</w:t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Ознаки того, що ваша «батарейка» сідає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Фізичні: Постійне відчуття втоми навіть після вихідних, порушення сну.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Емоційні: Байдужість до результатів вихованців, роздратування через дрібниці, почуття провини.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Професійні: Втрата інтересу до творчості, формальне виконання обов'язків, небажання впроваджувати інновації.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Техніки збереження енергії: Практичні поради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Принцип «Цифрової гігієни»: Встановіть чіткі межі використання гаджетів поза робочим часом. Не перевіряйте робочі чати пізно ввечері — дайте мозку можливість переключитися з професійної ролі на особисту.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«Правило маленьких перемог»: Навіть якщо загальна мета здається недосяжною, фіксуйте дрібні успіхи — вдалу ігрову ситуацію на занятті, позитивну зміну в поведінці дитини або успішне створення нової презентації в Canva.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Методичне розвантаження: Використовуйте готові сучасні інструменти (наприклад, НМК «Буду вправним першачком»), щоб зменшити час на підготовку матеріалів «з нуля» та уникнути перевтоми.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Інформаційна тиша: Протягом дня виділяйте 10–15 хвилин для повної тиші — без музики, розмов та екранів.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Як повернути радість від професії?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Педагогіка емансипації для вчителя: Дайте собі право бути не ідеальним, а «живим» педагогом. Дозвольте собі творчі експерименти, які приносять задоволення вам особисто — чи то розробка нового сценарію свята, чи то створення авторської казки про Христинку.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Зміна фокусу: Перестаньте сприймати дітей лише через призму показників моніторингу. Подивіться на них як на джерело чистої енергії та щирості — пограйте з ними в ігри, де ви не тільки вчитель, а й партнер по грі.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0"/>
        </w:tabs>
        <w:ind w:left="170"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Професійна підтримка: Не тримайте тривоги в собі. Обговорюйте складні ситуації з колегами, діліться досвідом і шукайте спільні рішення в колі однодумців нашого закладу.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Практичний кейс «Екстрена допомога»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cfo50d626nw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Якщо ви відчуваєте гострий приплив стресу: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0"/>
        </w:tabs>
        <w:ind w:left="720" w:firstLine="425.99999999999994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Дихання: Зробіть 4 глибокі вдихи та видихи (квадратне дихання).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leader="none" w:pos="0"/>
        </w:tabs>
        <w:ind w:left="720" w:firstLine="425.99999999999994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Заземлення: Назвіть 5 предметів навколо вас, які мають певну форму чи колір.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leader="none" w:pos="0"/>
        </w:tabs>
        <w:ind w:left="720" w:firstLine="425.99999999999994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Вода: Повільно випийте склянку води, концентруючись на кожному ковтку.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ind w:firstLine="426"/>
        <w:jc w:val="both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Висновок: Тільки щасливий і наповнений енергією педагог може виховати щасливу дитину. Ваше здоров’я та емоційний комфорт — це не егоїзм, а головний робочий інструмент. Бережіть себе, щоб мати сили дарувати світло іншим!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ind w:firstLine="426"/>
        <w:jc w:val="both"/>
        <w:rPr>
          <w:b w:val="0"/>
          <w:bCs w:val="0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u"/>
      </w:rPr>
    </w:rPrDefault>
    <w:pPrDefault>
      <w:pPr>
        <w:tabs>
          <w:tab w:val="left" w:leader="none" w:pos="0"/>
        </w:tabs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ind w:left="0" w:hanging="1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ls3gbzPdAofeeO+LLGM3HXs1Q==">CgMxLjAyDmguY2ZvNTBkNjI2bndsOAByITE2N3lGYkpZRUEwN1JtcEhUYU9UU2FwLXc5aDhKQVI2UA==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