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ЗДО№1 «Дзвіночок» Сарненської міської ради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7f1146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7f1146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ff0000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96"/>
          <w:szCs w:val="96"/>
          <w:rtl w:val="0"/>
        </w:rPr>
        <w:t xml:space="preserve">Консультація для вихователів</w:t>
      </w:r>
    </w:p>
    <w:p w:rsidR="00000000" w:rsidDel="00000000" w:rsidP="00000000" w:rsidRDefault="00000000" w:rsidRPr="00000000" w14:paraId="00000006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ff0000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96"/>
          <w:szCs w:val="96"/>
          <w:rtl w:val="0"/>
        </w:rPr>
        <w:t xml:space="preserve">«Фітбол – гімнастика</w:t>
      </w:r>
    </w:p>
    <w:p w:rsidR="00000000" w:rsidDel="00000000" w:rsidP="00000000" w:rsidRDefault="00000000" w:rsidRPr="00000000" w14:paraId="00000007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ff0000"/>
          <w:sz w:val="96"/>
          <w:szCs w:val="96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96"/>
          <w:szCs w:val="96"/>
          <w:rtl w:val="0"/>
        </w:rPr>
        <w:t xml:space="preserve">В ЗДО»</w:t>
      </w:r>
    </w:p>
    <w:p w:rsidR="00000000" w:rsidDel="00000000" w:rsidP="00000000" w:rsidRDefault="00000000" w:rsidRPr="00000000" w14:paraId="00000008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ff0000"/>
          <w:sz w:val="96"/>
          <w:szCs w:val="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xnpp9fn230rm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Підготувала </w:t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інструктор з фізкультури</w:t>
      </w:r>
    </w:p>
    <w:p w:rsidR="00000000" w:rsidDel="00000000" w:rsidP="00000000" w:rsidRDefault="00000000" w:rsidRPr="00000000" w14:paraId="00000015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Людмила Довгопола</w:t>
      </w:r>
    </w:p>
    <w:p w:rsidR="00000000" w:rsidDel="00000000" w:rsidP="00000000" w:rsidRDefault="00000000" w:rsidRPr="00000000" w14:paraId="00000016">
      <w:pPr>
        <w:spacing w:after="0" w:before="300" w:line="240" w:lineRule="auto"/>
        <w:jc w:val="center"/>
        <w:rPr>
          <w:rFonts w:ascii="Times New Roman" w:cs="Times New Roman" w:eastAsia="Times New Roman" w:hAnsi="Times New Roman"/>
          <w:color w:val="7f114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7f1146"/>
          <w:sz w:val="28"/>
          <w:szCs w:val="28"/>
          <w:rtl w:val="0"/>
        </w:rPr>
        <w:t xml:space="preserve">Фітбол - гімнастика</w:t>
      </w:r>
    </w:p>
    <w:p w:rsidR="00000000" w:rsidDel="00000000" w:rsidP="00000000" w:rsidRDefault="00000000" w:rsidRPr="00000000" w14:paraId="00000017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Більшість дітей потребує особливих програм фізичого розвитку, має бути врахований весь комплекс соматичних, інтелектуальних і фізичних проблем. Ці програми мають найперше сприяти корекції не лише фізичного, а й мовленнєвого, емоційного і загального розвитку.</w:t>
      </w:r>
    </w:p>
    <w:p w:rsidR="00000000" w:rsidDel="00000000" w:rsidP="00000000" w:rsidRDefault="00000000" w:rsidRPr="00000000" w14:paraId="00000018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Фітбол у перекладі з англ. означає «м'яч для опори».</w:t>
      </w:r>
    </w:p>
    <w:p w:rsidR="00000000" w:rsidDel="00000000" w:rsidP="00000000" w:rsidRDefault="00000000" w:rsidRPr="00000000" w14:paraId="00000019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М'яч має певні властивості, використовується для оздоровчих, коригувальних і дидактичних цілей. Це розмір, колір, запах і його особлива пружність.</w:t>
      </w:r>
    </w:p>
    <w:p w:rsidR="00000000" w:rsidDel="00000000" w:rsidP="00000000" w:rsidRDefault="00000000" w:rsidRPr="00000000" w14:paraId="0000001A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Спільна робота рухового, вестибулярного, зорового і тактильного аналізаторів, що включаються під час виконання зрв на м'ячі, підсилює ефект занять. Крім того м'ячі мають ванільно- цукерковий запах, і діти залюбки займаються на таких тренажерах.</w:t>
      </w:r>
    </w:p>
    <w:p w:rsidR="00000000" w:rsidDel="00000000" w:rsidP="00000000" w:rsidRDefault="00000000" w:rsidRPr="00000000" w14:paraId="0000001B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М'ячі можуть бути не лише різного розміру, а й кольору. Адже відомо, що кольори по-різному впливають на психічний стан і фізіологічні функції людини. Теплий колір (червоний, помаранчевий) підвищує активність, підсилює збудження центральної нервової системи. Цей колір зазвичай вибирають активні діти з холеричними межами. Холодний колір (синій, фіолетовий) заспокоює. Його вибирають діти з флегматичними межами, спокійні. Жовтий і зелений кольори сприяють прояву витривалості. За допомогою кольорів можна регулювати психоемоційний стан людини. Так, коричневе і чорне забарвлення снарядів складає враження, що вони важчі за предмети, які забарвлені в білий і жовтий колір.</w:t>
      </w:r>
    </w:p>
    <w:p w:rsidR="00000000" w:rsidDel="00000000" w:rsidP="00000000" w:rsidRDefault="00000000" w:rsidRPr="00000000" w14:paraId="0000001C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Гімнастикою з м'ячами займаються в дошкільному закладі підгрупами, індивідуально або у групі.</w:t>
      </w:r>
    </w:p>
    <w:p w:rsidR="00000000" w:rsidDel="00000000" w:rsidP="00000000" w:rsidRDefault="00000000" w:rsidRPr="00000000" w14:paraId="0000001D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Час проведення одного заняття з дітьми 3-4-х років - 30 хв, з дітьми 5-б-ти років - 40 хв. Заняття проходять у чистою провітреному приміщенні на килимі. Діти одягнені легко, без взуття.</w:t>
      </w:r>
    </w:p>
    <w:p w:rsidR="00000000" w:rsidDel="00000000" w:rsidP="00000000" w:rsidRDefault="00000000" w:rsidRPr="00000000" w14:paraId="0000001E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Пам'ятаємо, що заняття - це казка. Діти виконують вправи під час казки, яку розповідає інструктор із фізкультури. Як правило, ці заняття не мають великого м'язового навантаження, у них переважає безліч вправ на розвиток моторики (хапання, кидання тощо), звуконаслідувальні, а також ріщні ігри ігри з розгорнутим ігровим змістом.</w:t>
      </w:r>
    </w:p>
    <w:p w:rsidR="00000000" w:rsidDel="00000000" w:rsidP="00000000" w:rsidRDefault="00000000" w:rsidRPr="00000000" w14:paraId="0000001F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Дїти дістають насолоду не від того, що навчилися виконувати той або інший рух, а від самої гри. Вправи на м'ячах вони можуть виконувати протягом заняття. З дітьми молодшого віку робимо вправи на м'ячах як фрагмент заняття.</w:t>
      </w:r>
    </w:p>
    <w:p w:rsidR="00000000" w:rsidDel="00000000" w:rsidP="00000000" w:rsidRDefault="00000000" w:rsidRPr="00000000" w14:paraId="00000020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У молодшій групі основну увагу приділяємо роботі над тонусом, статичною координацією, збереженням заданої пози. В середній групі діти вчаться технічно правильно виконувати загальнорозвивальні вправи і розвивати рухову координацію.</w:t>
      </w:r>
    </w:p>
    <w:p w:rsidR="00000000" w:rsidDel="00000000" w:rsidP="00000000" w:rsidRDefault="00000000" w:rsidRPr="00000000" w14:paraId="00000021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Для дітей з мовленнєвими порушеннями автоматизації рухів проводимо з мовленнєвим супроводом. Ритм віршів допомагає підпорядкувати рухи тіла певному темпу, сила голосу визначає їх амплітуду і виразність.</w:t>
      </w:r>
    </w:p>
    <w:p w:rsidR="00000000" w:rsidDel="00000000" w:rsidP="00000000" w:rsidRDefault="00000000" w:rsidRPr="00000000" w14:paraId="00000022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Діти старшої групи мають більш координовані рухи, вони можуть регулюватися і підкорятися вольовому наказу. Діти розуміють користь вправ, зв'язок між способом виконання і кінцевим результатом.Вони стають наполегливіші в подоланні труднощів і можуть багаторазово повторювати вправи, працювати в колективі, виконувати всі команди, які дає педагог, організовано і дисципліновано.</w:t>
      </w:r>
    </w:p>
    <w:p w:rsidR="00000000" w:rsidDel="00000000" w:rsidP="00000000" w:rsidRDefault="00000000" w:rsidRPr="00000000" w14:paraId="00000023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За структурою руховий тренінг із м'ячами нагадує традиційне фізкультурне заняття:</w:t>
      </w:r>
    </w:p>
    <w:p w:rsidR="00000000" w:rsidDel="00000000" w:rsidP="00000000" w:rsidRDefault="00000000" w:rsidRPr="00000000" w14:paraId="00000024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Підготовча частина, до завдання якої входить розвиток усіх видів уваги, сприйняття і пам'яті, орієнтування у просторі на матеріалі основних рухів.</w:t>
      </w:r>
    </w:p>
    <w:p w:rsidR="00000000" w:rsidDel="00000000" w:rsidP="00000000" w:rsidRDefault="00000000" w:rsidRPr="00000000" w14:paraId="00000025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 Основна частина - освоєння загальнорозви-вапьних вправ і вправ на тренажерах.</w:t>
      </w:r>
    </w:p>
    <w:p w:rsidR="00000000" w:rsidDel="00000000" w:rsidP="00000000" w:rsidRDefault="00000000" w:rsidRPr="00000000" w14:paraId="00000026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 Заключна частина - рухлива гра і релаксація.</w:t>
      </w:r>
    </w:p>
    <w:p w:rsidR="00000000" w:rsidDel="00000000" w:rsidP="00000000" w:rsidRDefault="00000000" w:rsidRPr="00000000" w14:paraId="00000027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У старшій групі діти вже співвідносять свої дії з музикою, тому використовуємо музичний супровід або фонограму.</w:t>
      </w:r>
    </w:p>
    <w:p w:rsidR="00000000" w:rsidDel="00000000" w:rsidP="00000000" w:rsidRDefault="00000000" w:rsidRPr="00000000" w14:paraId="00000028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Використання фітболів у сюжетних рухливих іграх надає іграм творчого характеру, підсилює терапевтичний ефект.</w:t>
      </w:r>
    </w:p>
    <w:p w:rsidR="00000000" w:rsidDel="00000000" w:rsidP="00000000" w:rsidRDefault="00000000" w:rsidRPr="00000000" w14:paraId="00000029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Діти у старшому віці охоче грають в різні безсюжетні ігри з елементом змагання, естафети, ігри з різними предметами, готові до участі у спортивних іграх. Безсюжетні ігри дуже близькі до сюжетних - у них бракує образів, яких вони наслідують. В основі таких ігор лежить виконання певних рухових завдань із простими правилами.</w:t>
      </w:r>
    </w:p>
    <w:p w:rsidR="00000000" w:rsidDel="00000000" w:rsidP="00000000" w:rsidRDefault="00000000" w:rsidRPr="00000000" w14:paraId="0000002A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Основна мета безсюжетних ігор із фітболами - рухове коригування розвитку вихованців. Перед педагогом стоїть завдання: навчити дітей діяти відповідно до інструкції, що привчає їх орієнтуватися у просторі, розвиває спритність.</w:t>
      </w:r>
    </w:p>
    <w:p w:rsidR="00000000" w:rsidDel="00000000" w:rsidP="00000000" w:rsidRDefault="00000000" w:rsidRPr="00000000" w14:paraId="0000002B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Слід використовувати також ігри-забави. Рухові завдання в цих іграх часто містять елемент змагання. Фітболи урізноманітнюють ці ігри, вони додають дітям радості і здоров'я, спритності, винахідливості, швидкості реакції.</w:t>
      </w:r>
    </w:p>
    <w:p w:rsidR="00000000" w:rsidDel="00000000" w:rsidP="00000000" w:rsidRDefault="00000000" w:rsidRPr="00000000" w14:paraId="0000002C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Ігри з фітболами можна використовувати не лише на фізкультурниз заняттях, а й у повсякденній роботі ( на прогулянці, самостійних іграх дітей, розвагах і в індивідуальній роботі). Більшість таких ігор спрямована на корекцію і розвиток усіх властивостей уваги: концентрацію, перемикання, стійкість та розподіл.</w:t>
      </w:r>
    </w:p>
    <w:p w:rsidR="00000000" w:rsidDel="00000000" w:rsidP="00000000" w:rsidRDefault="00000000" w:rsidRPr="00000000" w14:paraId="0000002D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Слід зазначити, що ефективність ігор обумовлюється не лише змістом, а й організацією, методикою їх проведення, у яких зважають на вікові особливості дітей, зміну періодів рухової активності, інтервали для відпочинку і диференційованої оцінки діяльності дітей.</w:t>
      </w:r>
    </w:p>
    <w:p w:rsidR="00000000" w:rsidDel="00000000" w:rsidP="00000000" w:rsidRDefault="00000000" w:rsidRPr="00000000" w14:paraId="0000002E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У цьому віці відбувається перехід від ігрової діяльності до навчальної. Тут особливо потрібна заключна частина. Прийоми релаксації допомагають дітям далі самостійно регулювати свій психоемоційний стан, процеси збудження і гальмування. Попри те, що ігрова діяльність переходить у навчальну, гра для дітей старшого віку і далі посідає важливе місце. Змінюється якість ігор. Важливе значення мають комунікативні, психокоригувальні і командні ігри з елементами спорту.</w:t>
      </w:r>
    </w:p>
    <w:p w:rsidR="00000000" w:rsidDel="00000000" w:rsidP="00000000" w:rsidRDefault="00000000" w:rsidRPr="00000000" w14:paraId="0000002F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12121"/>
          <w:sz w:val="28"/>
          <w:szCs w:val="28"/>
          <w:rtl w:val="0"/>
        </w:rPr>
        <w:t xml:space="preserve">«Золоті» правила футбол-гімнастики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1. Кожній дитині потрібно добирати м'яч за зростом так, щоб під час посадки на м'яч між тулубом і стегном, стегном і гомілкою, гомілкою і стопою був прямий кут. Правильна посадка передбачає також підведену голову, опущені і розведені плечі, рівне положення хребта, підтягнутий живіт.</w:t>
      </w:r>
    </w:p>
    <w:p w:rsidR="00000000" w:rsidDel="00000000" w:rsidP="00000000" w:rsidRDefault="00000000" w:rsidRPr="00000000" w14:paraId="00000031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2. Перед заняттям із м'ячами треба пересвідчитися, що поруч немає гострих предметів, які можуть пошкодити м'яч.</w:t>
      </w:r>
    </w:p>
    <w:p w:rsidR="00000000" w:rsidDel="00000000" w:rsidP="00000000" w:rsidRDefault="00000000" w:rsidRPr="00000000" w14:paraId="00000032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3. Діти мають зручний одяг, що не заважає рухам, і неслизьке взуття (краще без взуття на килимку).</w:t>
      </w:r>
    </w:p>
    <w:p w:rsidR="00000000" w:rsidDel="00000000" w:rsidP="00000000" w:rsidRDefault="00000000" w:rsidRPr="00000000" w14:paraId="00000033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4. Починати треба із простих вправ і полегшених вихідних положень, поступово переходячи до складних.</w:t>
      </w:r>
    </w:p>
    <w:p w:rsidR="00000000" w:rsidDel="00000000" w:rsidP="00000000" w:rsidRDefault="00000000" w:rsidRPr="00000000" w14:paraId="00000034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5. Жодна вправа не має завдавати болю або викликати дискомфорт.</w:t>
      </w:r>
    </w:p>
    <w:p w:rsidR="00000000" w:rsidDel="00000000" w:rsidP="00000000" w:rsidRDefault="00000000" w:rsidRPr="00000000" w14:paraId="00000035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6. Слід уникати швидких і різких рухів, скручувань у шийному і поперекових відділах хребта, інтенсивного напруження м'язів і спини.</w:t>
      </w:r>
    </w:p>
    <w:p w:rsidR="00000000" w:rsidDel="00000000" w:rsidP="00000000" w:rsidRDefault="00000000" w:rsidRPr="00000000" w14:paraId="00000036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7. Під час виконання вправ, лежачи на м'ячі, не затримувати дихання.</w:t>
      </w:r>
    </w:p>
    <w:p w:rsidR="00000000" w:rsidDel="00000000" w:rsidP="00000000" w:rsidRDefault="00000000" w:rsidRPr="00000000" w14:paraId="00000037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8. Виконуючи вправи на м'ячі, лежачи на животі і спині, голова і хребет мають становити одну пряму лінію.</w:t>
      </w:r>
    </w:p>
    <w:p w:rsidR="00000000" w:rsidDel="00000000" w:rsidP="00000000" w:rsidRDefault="00000000" w:rsidRPr="00000000" w14:paraId="00000038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9.Під час виконання вправ м'яч не повинен рухатися.</w:t>
      </w:r>
    </w:p>
    <w:p w:rsidR="00000000" w:rsidDel="00000000" w:rsidP="00000000" w:rsidRDefault="00000000" w:rsidRPr="00000000" w14:paraId="00000039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10.Фізичне навантаження за часом має суворо дозуватися відповідно до вікових можливостей дітей.</w:t>
      </w:r>
    </w:p>
    <w:p w:rsidR="00000000" w:rsidDel="00000000" w:rsidP="00000000" w:rsidRDefault="00000000" w:rsidRPr="00000000" w14:paraId="0000003A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11. Стежити за технікою виконання вправ, дотримуватися прийомів страхування і вчити дітей самострахування.</w:t>
      </w:r>
    </w:p>
    <w:p w:rsidR="00000000" w:rsidDel="00000000" w:rsidP="00000000" w:rsidRDefault="00000000" w:rsidRPr="00000000" w14:paraId="0000003B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12. На кожному занятті намагатися створювати позитивний емоційний фон, бадьорий, радісний настрій.</w:t>
      </w:r>
    </w:p>
    <w:p w:rsidR="00000000" w:rsidDel="00000000" w:rsidP="00000000" w:rsidRDefault="00000000" w:rsidRPr="00000000" w14:paraId="0000003C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13. Можна проводити комплексні ні заняття, коли одночасно з виконанням фізичних вправ діти удосконалюють культуру мовлення, правильну вимову.</w:t>
      </w:r>
    </w:p>
    <w:p w:rsidR="00000000" w:rsidDel="00000000" w:rsidP="00000000" w:rsidRDefault="00000000" w:rsidRPr="00000000" w14:paraId="0000003D">
      <w:pPr>
        <w:spacing w:after="0" w:before="180" w:line="240" w:lineRule="auto"/>
        <w:jc w:val="both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14.Для формування комунікативних умінь можна виконувати вправи на м'ячах у парних загальнорозвивальних вправах, рухливих іграх, командних змаганнях.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fldChar w:fldCharType="begin"/>
        <w:instrText xml:space="preserve"> HYPERLINK "https://sites.google.com/view/zdo-kazka/%D0%BF%D0%B5%D0%B4%D0%B0%D0%B3%D0%BE%D0%B3%D1%96%D1%87%D0%BD%D0%B8%D0%B9-%D0%BA%D0%BE%D0%BB%D0%B5%D0%BA%D1%82%D0%B8%D0%B2/%D0%B2%D0%B8%D1%85%D0%BE%D0%B2%D0%B0%D1%82%D0%B5%D0%BB%D1%8C-%D0%B7-%D1%84%D1%96%D0%B7%D0%B8%D1%87%D0%BD%D0%BE%D1%97-%D0%BA%D1%83%D0%BB%D1%8C%D1%82%D1%83%D1%80%D0%B8/%D0%BA%D0%BE%D0%BD%D1%81%D1%83%D0%BB%D1%8C%D1%82%D0%B0%D1%86%D1%96%D1%97-%D0%B2%D0%B8%D1%85%D0%BE%D0%B2%D0%B0%D1%82%D0%B5%D0%BB%D1%8F-%D0%B7-%D1%84%D1%96%D0%B7%D0%B8%D1%87%D0%BD%D0%BE%D1%97-%D0%BA%D1%83%D0%BB%D1%8C%D1%82%D1%83%D1%80%D0%B8#h.p_IXzrT-yOVzX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7f1146"/>
          <w:sz w:val="28"/>
          <w:szCs w:val="2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b6xLefTZvzvvrVbyCoSOaShDDQ==">CgMxLjAyDmgueG5wcDlmbjIzMHJtOAByITFmclVXUkJHM0JYX2luMUlXZlh0UlNfdkR3Qmx0ck5xZA==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2025-06-08T10:45:00Z</dcterms:created>
  <dc:creator>Админ</dc:creator>
</cp:coreProperties>
</file>